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2018 69 vom 6. Februar 2019</w:t>
      </w:r>
    </w:p>
    <w:p>
      <w:r>
        <w:t>GR Gerichte, 2019-02-06, DE</w:t>
      </w:r>
    </w:p>
    <w:p>
      <w:r>
        <w:rPr>
          <w:b/>
        </w:rPr>
        <w:t xml:space="preserve">Quelle: </w:t>
      </w:r>
      <w:r>
        <w:t>https://mcp.opencaselaw.ch/entscheid/gr_gerichte_SK2 2018 69</w:t>
      </w:r>
    </w:p>
    <w:p>
      <w:r>
        <w:t>FR: GR_GERICHTE SK2 2018 69 du 6 février 2019</w:t>
      </w:r>
    </w:p>
    <w:p>
      <w:r>
        <w:t>IT: GR_GERICHTE SK2 2018 69 del 6 febbraio 2019</w:t>
      </w:r>
    </w:p>
    <w:p>
      <w:pPr>
        <w:pStyle w:val="Heading2"/>
      </w:pPr>
      <w:r>
        <w:t>Regeste</w:t>
      </w:r>
    </w:p>
    <w:p>
      <w:r>
        <w:t>Bankauskunft und Edition | Beschwerde gegen StA, Andere Untersuchungsmassnahme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5 Verfügung vom 6. Februar 2019 Referenz SK2 18 69 Instanz II. Strafkammer Besetzung Hubert, Vorsitzender Nydegger, Aktuar Parteien X._____, Beschwerdeführer vertreten durch Rechtsanwalt lic. iur. Peter Portmann Quaderstrasse 18, Postfach 551, 7001 Chur Gegenstand Bankauskunft und Edition Anfechtungsobj. Verfügung Staatsanwaltschaft Graubünden vom 05.11.2018, mitge- teilt am 06.11.2018 (Proz. Nr. VV.2015.373) Mitteilung 11. Februar 2019</w:t>
      </w:r>
    </w:p>
    <w:p>
      <w:r>
        <w:rPr>
          <w:b/>
        </w:rPr>
        <w:t>E. 2</w:t>
      </w:r>
    </w:p>
    <w:p>
      <w:r>
        <w:t>/ 5 In Erwägung, – dass die Staatsanwaltschaft Graubünden (nachfolgend: Staatsanwaltschaft) ge- gen X._____ Ermittlungen wegen des Verdachts auf strafbares Verhalten (Verun- treuung etc.) führt, – dass die Staatsanwaltschaft in diesem Zusammenhang die B.1_____ mit Verfü- gung vom 5. November 2018, mitgeteilt am 6. November 2018, aufforderte, ihr innert 10 Bankwerktagen diverse Unterlagen (Kontoeröffnungsunterlagen, Kon- toauszüge für den Zeitraum ab Kontoeröffnung 2011 bis heute) des Kontos mit der Stammnummer _____und _____ und _____, lautend auf A._____, heraus- zugeben, – dass X._____ (nachfolgend: Beschwerdeführer) dagegen am 19. November 2018 Beschwerde an das Kantonsgericht von Graubünden erhob, wobei er bean- tragte, besagte Verfügung der Staatsanwaltschaft sowie die darauf fussende De- legation an die Kantonspolizei seien aufzuheben, unter Kosten- und Entschädi- gungsfolge zu Lasten des Kantons Graubünden, – dass die B.1_____ der Staatsanwaltschaft am 22. November 2018 die ge- wünschten Unterlagen zukommen liess (StA act. 2.49), – dass die Staatsanwaltschaft mit Stellungnahme vom 3. Dezember 2018 das kos- tenfällige Nichteintreten, evtl. die Abweisung der Beschwerde, beantragte, – dass der Beschwerdeführer mit Replik vom 3. Januar 2019 an seinen Rechtsbe- gehren festhielt, – dass zur Beschwerde jede Partei oder jeder andere Verfahrensbeteiligte mit ei- nem rechtlich geschützten Interesse an der Aufhebung oder Änderung des ange- fochtenen Entscheides berechtigt ist (Art. 382 Abs. 1 StPO i.V.m. Art. 105 Abs. 2 StPO), – dass, wer ein Rechtsmittel im Sinne von Art. 379 ff. StPO ergreift, grundsätzlich ein aktuelles praktisches Interesse an der Aufhebung oder Änderung des ange- fochtenen Entscheides zu haben braucht (Urteil des Bundesgerichts 1B_351/2012 vom 20. September 2012, E. 2.3 m.w.H.), – dass der Beschwerdeführer mit der vorliegenden Beschwerde zunächst die Her- ausgabe der von der B.1_____ verlangten Unterlagen zu verhindern versucht,</w:t>
      </w:r>
    </w:p>
    <w:p>
      <w:r>
        <w:rPr>
          <w:b/>
        </w:rPr>
        <w:t>E. 3</w:t>
      </w:r>
    </w:p>
    <w:p>
      <w:r>
        <w:t>/ 5 – dass die B.1_____ - wie erwähnt - der Staatsanwaltschaft am 22. November 2018 die gewünschten Unterlagen zukommen liess, worauf die Staatsanwalt- schaft in ihrer Stellungnahme vom 3. Dezember 2018 hinwies (vgl. KG act. A.2), sodass auch der Beschwerdeführer Kenntnis von diesem Umstand hatte, – dass der Beschwerdeführer ungeachtet dessen mit Replik vom 3. Januar 2019 an seiner Beschwerde festhielt (vgl. KG act. A.3), – dass nach erfolgter Herausgabe kein Rechtsschutzinteresse mehr an der Aufhe- bung einer Editionsverfügung besteht, sofern damit die Herausgabe als solche verhindert werden soll (vgl. Verfügung des Kantonsgerichts von Graubünden SK2 18 2 vom 2. August 2018), – dass das Rechtschutzinteresse mit Einreichung der Unterlagen durch die B.1_____ - und damit nach Beschwerdeerhebung - weggefallen ist, sodass das Beschwerdeverfahren insofern als gegenstandslos geworden vom Geschäftsver- zeichnis abgeschrieben werden kann, – dass damit offenbleiben kann, ob gegen eine Editionsverfügung überhaupt Be- schwerde erhoben werden kann (vgl. die Hinweise in der Verfügung des Kan- tonsgerichts von Graubünden SK2 18 2 vom 2. August 2018 [in fine]), – dass damit ebenso offenbleiben kann, ob X._____ als bloss wirtschaftlich Be- rechtigter an der A._____ durch die angefochtene Editionsverfügung überhaupt in seinen rechtlich geschützten Interessen unmittelbar betroffen ist, – dass im Übrigen auf die Ausführungen des Beschwerdeführers zur Beschlag- nahme nicht weiter einzugehen ist, da vorliegend nicht eine Beschlagnahme, sondern eine Edition zur Diskussion steht, – dass der Beschwerdeführer ausserdem die in der Editionsverfügung enthaltene Delegation an die Polizei (Einholung weiterer Unterlagen etc.) bemängelt, – dass hierzu in der Sache selbst lediglich zu bemerken ist, dass grundsätzlich alle Arten von Beweiserhebungen an die Polizei delegiert werden können (Urteil des Bundesgerichts 1B_730/2011 vom 25. Juni 2012, E. 2.2), – dass eine Delegation namentlich auch hinsichtlich weiterer Editionen zulässig ist, zumal ein reines Herausgabeersuchen (ohne Strafandrohung für den Unterlas- sungsfall) keine Zwangsmassnahme darstellt (Urteil des Bundesgerichts 6B_104/2007 vom 23. Juli 2007),</w:t>
      </w:r>
    </w:p>
    <w:p>
      <w:r>
        <w:rPr>
          <w:b/>
        </w:rPr>
        <w:t>E. 4</w:t>
      </w:r>
    </w:p>
    <w:p>
      <w:r>
        <w:t>/ 5 – dass eine Delegation an die Polizei aufgrund ihres Charakters als behördeninter- ne Anordnung nicht mit Beschwerde angefochten werden kann (Esther Omlin, in: Niggli/Heer/Wiprächtiger [Hrsg.], Basler Kommentar, Schweizerische Strafpro- zessordnung, 2. Aufl., Basel 2014, N 12 zu Art. 312 StPO m.w.H.), – dass insofern auf die Beschwerde von vornherein nicht einzutreten ist, – dass der Beschwerdeführer in seiner Replik vom 3. Januar 2019 schliesslich vor- bringt, er stelle ein Siegelungsgesuch (vgl. KG act. A.3), – dass ein solches Siegelungsgesuch bei der Staatsanwaltschaft zu stellen ist und im vorliegenden Beschwerdeverfahren folglich nicht behandelt werden kann, – dass die Staatsanwaltschaft aufgrund der Zustellung der Replik des Beschwerde- führers Kenntnis vom Siegelungsgesuch erhalten und - sofern nicht bereits er- folgt - dieses zu behandeln hat, – dass, soweit das Beschwerdeverfahren nicht als gegenstandslos geworden vom Geschäftsverzeichnis abgeschrieben werden kann, auf die Beschwerde nicht einzutreten ist, – dass die vorliegende Angelegenheit gestützt auf Art. 18 Abs. 3 des Gerichtsor- ganisationsgesetzes (GOG; BR 173.000) und Art. 11 Abs. 2 der Verordnung über die Organisation des Kantonsgerichts (KGV; BR 173.100) durch den Vorsitzen- den in einzelrichterlicher Kompetenz erledigt wird, – dass bei diesem Ausgang des Verfahrens nach Art. 428 Abs. 1 StPO der Be- schwerdeführer die Kosten des Beschwerdeverfahrens zu tragen hat, – dass die Kosten in Anwendung von Art. 8 und 10 der Verordnung über die Ge- richtsgebühr in Strafverfahren (VGS; BR 350.210) auf CHF 800.00 festgelegt werden, – dass keine Parteientschädigungen zu sprechen sind,</w:t>
      </w:r>
    </w:p>
    <w:p>
      <w:r>
        <w:rPr>
          <w:b/>
        </w:rPr>
        <w:t>E. 5</w:t>
      </w:r>
    </w:p>
    <w:p>
      <w:r>
        <w:t>/ 5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